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35648540">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109FDACA" w:rsidR="00350E1E" w:rsidRPr="003135D6" w:rsidRDefault="00BB16D1"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EndPr/>
        <w:sdtContent>
          <w:r>
            <w:rPr>
              <w:rFonts w:asciiTheme="minorHAnsi" w:hAnsiTheme="minorHAnsi"/>
              <w:sz w:val="22"/>
              <w:szCs w:val="22"/>
            </w:rPr>
            <w:t>Desert Palms Elementary School</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5F074810"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BB16D1">
        <w:rPr>
          <w:rFonts w:asciiTheme="minorHAnsi" w:hAnsiTheme="minorHAnsi"/>
          <w:sz w:val="22"/>
          <w:szCs w:val="22"/>
        </w:rPr>
        <w:t>Anita Gomez at 623.412.4600</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A26B8" w14:textId="77777777" w:rsidR="00F137CD" w:rsidRDefault="00F137CD">
      <w:r>
        <w:separator/>
      </w:r>
    </w:p>
  </w:endnote>
  <w:endnote w:type="continuationSeparator" w:id="0">
    <w:p w14:paraId="649A26B9" w14:textId="77777777" w:rsidR="00F137CD" w:rsidRDefault="00F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A26B6" w14:textId="77777777" w:rsidR="00F137CD" w:rsidRDefault="00F137CD">
      <w:r>
        <w:separator/>
      </w:r>
    </w:p>
  </w:footnote>
  <w:footnote w:type="continuationSeparator" w:id="0">
    <w:p w14:paraId="649A26B7" w14:textId="77777777" w:rsidR="00F137CD" w:rsidRDefault="00F1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formatting="1" w:enforcement="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1E576E"/>
    <w:rsid w:val="002540FC"/>
    <w:rsid w:val="002B21D3"/>
    <w:rsid w:val="002D2D7F"/>
    <w:rsid w:val="002D3EED"/>
    <w:rsid w:val="002E0B66"/>
    <w:rsid w:val="002E5BA9"/>
    <w:rsid w:val="003135D6"/>
    <w:rsid w:val="00350E1E"/>
    <w:rsid w:val="0035557C"/>
    <w:rsid w:val="003634CB"/>
    <w:rsid w:val="00476A82"/>
    <w:rsid w:val="00576C6E"/>
    <w:rsid w:val="005C1938"/>
    <w:rsid w:val="00660009"/>
    <w:rsid w:val="00677346"/>
    <w:rsid w:val="006B373F"/>
    <w:rsid w:val="006B384D"/>
    <w:rsid w:val="00740B3B"/>
    <w:rsid w:val="007637A9"/>
    <w:rsid w:val="00793860"/>
    <w:rsid w:val="007B3EF8"/>
    <w:rsid w:val="00834E99"/>
    <w:rsid w:val="00930B4E"/>
    <w:rsid w:val="009546AD"/>
    <w:rsid w:val="00962102"/>
    <w:rsid w:val="00A84E70"/>
    <w:rsid w:val="00AB46F0"/>
    <w:rsid w:val="00AD297E"/>
    <w:rsid w:val="00B04247"/>
    <w:rsid w:val="00B678A7"/>
    <w:rsid w:val="00B9633A"/>
    <w:rsid w:val="00B97AB4"/>
    <w:rsid w:val="00BB16D1"/>
    <w:rsid w:val="00BC75A0"/>
    <w:rsid w:val="00C04ADA"/>
    <w:rsid w:val="00C84914"/>
    <w:rsid w:val="00CC4165"/>
    <w:rsid w:val="00D15B4E"/>
    <w:rsid w:val="00D213F5"/>
    <w:rsid w:val="00D30B6F"/>
    <w:rsid w:val="00DF1155"/>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1E576E"/>
    <w:rsid w:val="00404646"/>
    <w:rsid w:val="00962102"/>
    <w:rsid w:val="00A5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D8F-D611-442D-BFB2-4FA442594A18}">
  <ds:schemaRef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7e6cd12d-52df-4aeb-8752-0ba3b67e3f09"/>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2B2D063-8B4B-4484-908E-76207EA0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1736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Anita Gomez</cp:lastModifiedBy>
  <cp:revision>2</cp:revision>
  <dcterms:created xsi:type="dcterms:W3CDTF">2024-07-30T16:15:00Z</dcterms:created>
  <dcterms:modified xsi:type="dcterms:W3CDTF">2024-07-30T16:15:00Z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